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46" w:rsidRPr="001D6D07" w:rsidRDefault="00335146" w:rsidP="00B839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D6D07"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:rsidR="00B839EC" w:rsidRPr="001D6D07" w:rsidRDefault="00B839EC" w:rsidP="0066328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D6D07">
        <w:rPr>
          <w:rFonts w:ascii="Arial" w:hAnsi="Arial" w:cs="Arial"/>
          <w:b/>
          <w:sz w:val="24"/>
          <w:szCs w:val="24"/>
          <w:u w:val="single"/>
        </w:rPr>
        <w:t xml:space="preserve">ΣΧΕΔΙΟ ΕΠΙΧΟΡΗΓΗΣΗΣ ΔΙΑΚΟΠΩΝ </w:t>
      </w:r>
      <w:r w:rsidR="0071667B" w:rsidRPr="001D6D07">
        <w:rPr>
          <w:rFonts w:ascii="Arial" w:hAnsi="Arial" w:cs="Arial"/>
          <w:b/>
          <w:sz w:val="24"/>
          <w:szCs w:val="24"/>
          <w:u w:val="single"/>
        </w:rPr>
        <w:t xml:space="preserve">ΣΥΝΤΑΞΙΟΥΧΩΝ ΜΕ ΧΑΜΗΛΑ ΕΙΣΟΔΗΜΑΤΑ </w:t>
      </w:r>
      <w:r w:rsidRPr="001D6D07">
        <w:rPr>
          <w:rFonts w:ascii="Arial" w:hAnsi="Arial" w:cs="Arial"/>
          <w:b/>
          <w:sz w:val="24"/>
          <w:szCs w:val="24"/>
          <w:u w:val="single"/>
        </w:rPr>
        <w:t xml:space="preserve">ΣΕ ΞΕΝΟΔΟΧΕΙΑ ΤΩΝ ΟΡΕΙΝΩΝ ΘΕΡΕΤΡΩΝ </w:t>
      </w:r>
      <w:r w:rsidR="00E219FA" w:rsidRPr="001D6D07">
        <w:rPr>
          <w:rFonts w:ascii="Arial" w:hAnsi="Arial" w:cs="Arial"/>
          <w:b/>
          <w:sz w:val="24"/>
          <w:szCs w:val="24"/>
          <w:u w:val="single"/>
        </w:rPr>
        <w:t xml:space="preserve">ΚΑΙ ΤΟΥ ΠΥΡΓΟΥ ΤΗΛΛΥΡΙΑΣ </w:t>
      </w:r>
      <w:r w:rsidR="004E2CFD">
        <w:rPr>
          <w:rFonts w:ascii="Arial" w:hAnsi="Arial" w:cs="Arial"/>
          <w:b/>
          <w:sz w:val="24"/>
          <w:szCs w:val="24"/>
          <w:u w:val="single"/>
        </w:rPr>
        <w:t>ΚΑΤΑ ΤΗΝ ΠΕΡΙΟΔΟ ΑΠΟ 1</w:t>
      </w:r>
      <w:r w:rsidR="004E2CFD">
        <w:rPr>
          <w:rFonts w:ascii="Arial" w:hAnsi="Arial" w:cs="Arial"/>
          <w:b/>
          <w:sz w:val="24"/>
          <w:szCs w:val="24"/>
          <w:u w:val="single"/>
          <w:vertAlign w:val="superscript"/>
        </w:rPr>
        <w:t xml:space="preserve">Η </w:t>
      </w:r>
      <w:r w:rsidR="004E2CFD">
        <w:rPr>
          <w:rFonts w:ascii="Arial" w:hAnsi="Arial" w:cs="Arial"/>
          <w:b/>
          <w:sz w:val="24"/>
          <w:szCs w:val="24"/>
          <w:u w:val="single"/>
        </w:rPr>
        <w:t>ΣΕΠΤΕΜΒΡΙΟΥ 2021</w:t>
      </w:r>
      <w:r w:rsidR="0071667B" w:rsidRPr="001D6D07">
        <w:rPr>
          <w:rFonts w:ascii="Arial" w:hAnsi="Arial" w:cs="Arial"/>
          <w:b/>
          <w:sz w:val="24"/>
          <w:szCs w:val="24"/>
          <w:u w:val="single"/>
        </w:rPr>
        <w:t xml:space="preserve"> ΜΕΧΡΙ </w:t>
      </w:r>
      <w:r w:rsidR="004E2CFD">
        <w:rPr>
          <w:rFonts w:ascii="Arial" w:hAnsi="Arial" w:cs="Arial"/>
          <w:b/>
          <w:sz w:val="24"/>
          <w:szCs w:val="24"/>
          <w:u w:val="single"/>
        </w:rPr>
        <w:t>22 ΔΕΚΕΜΒΡΙΟΥ 2021</w:t>
      </w:r>
    </w:p>
    <w:p w:rsidR="007C4A5F" w:rsidRPr="007C4A5F" w:rsidRDefault="00470991" w:rsidP="007C4A5F">
      <w:pPr>
        <w:overflowPunct w:val="0"/>
        <w:autoSpaceDE w:val="0"/>
        <w:autoSpaceDN w:val="0"/>
        <w:adjustRightInd w:val="0"/>
        <w:spacing w:after="0" w:line="240" w:lineRule="auto"/>
        <w:ind w:right="-153"/>
        <w:jc w:val="both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 w:rsidRPr="001D6D07">
        <w:rPr>
          <w:rFonts w:ascii="Arial" w:hAnsi="Arial" w:cs="Arial"/>
          <w:sz w:val="24"/>
          <w:szCs w:val="24"/>
        </w:rPr>
        <w:t>Σε συν</w:t>
      </w:r>
      <w:r w:rsidR="0063688C">
        <w:rPr>
          <w:rFonts w:ascii="Arial" w:hAnsi="Arial" w:cs="Arial"/>
          <w:sz w:val="24"/>
          <w:szCs w:val="24"/>
        </w:rPr>
        <w:t>έχεια ανακοίνωσης ημερομηνίας 23 Ιουλίου 2021</w:t>
      </w:r>
      <w:r w:rsidRPr="001D6D07">
        <w:rPr>
          <w:rFonts w:ascii="Arial" w:hAnsi="Arial" w:cs="Arial"/>
          <w:sz w:val="24"/>
          <w:szCs w:val="24"/>
        </w:rPr>
        <w:t xml:space="preserve"> αναφορικά με την υλοποίηση του υπό αναφορά Σχεδίου, τ</w:t>
      </w:r>
      <w:r w:rsidR="00B839EC" w:rsidRPr="001D6D07">
        <w:rPr>
          <w:rFonts w:ascii="Arial" w:hAnsi="Arial" w:cs="Arial"/>
          <w:sz w:val="24"/>
          <w:szCs w:val="24"/>
        </w:rPr>
        <w:t xml:space="preserve">ο Υπουργείο Εργασίας, Πρόνοιας και Κοινωνικών Ασφαλίσεων </w:t>
      </w:r>
      <w:r w:rsidR="00CD1A56" w:rsidRPr="001D6D07">
        <w:rPr>
          <w:rFonts w:ascii="Arial" w:hAnsi="Arial" w:cs="Arial"/>
          <w:sz w:val="24"/>
          <w:szCs w:val="24"/>
        </w:rPr>
        <w:t>ανακοινώνει</w:t>
      </w:r>
      <w:r w:rsidR="007C4A5F" w:rsidRPr="007C4A5F">
        <w:rPr>
          <w:rFonts w:ascii="Arial" w:hAnsi="Arial" w:cs="Arial"/>
          <w:sz w:val="24"/>
          <w:szCs w:val="24"/>
        </w:rPr>
        <w:t xml:space="preserve"> </w:t>
      </w:r>
      <w:r w:rsidRPr="001D6D07">
        <w:rPr>
          <w:rFonts w:ascii="Arial" w:hAnsi="Arial" w:cs="Arial"/>
          <w:sz w:val="24"/>
          <w:szCs w:val="24"/>
        </w:rPr>
        <w:t xml:space="preserve">ότι οι δηλώσεις για συμμετοχή στο Σχέδιο μπορούν να υποβάλλονται, </w:t>
      </w:r>
      <w:r w:rsidRPr="001D6D07">
        <w:rPr>
          <w:rFonts w:ascii="Arial" w:hAnsi="Arial" w:cs="Arial"/>
          <w:b/>
          <w:sz w:val="24"/>
          <w:szCs w:val="24"/>
        </w:rPr>
        <w:t xml:space="preserve">από </w:t>
      </w:r>
      <w:r w:rsidR="00316BB1">
        <w:rPr>
          <w:rFonts w:ascii="Arial" w:hAnsi="Arial" w:cs="Arial"/>
          <w:b/>
          <w:sz w:val="24"/>
          <w:szCs w:val="24"/>
        </w:rPr>
        <w:t>τη</w:t>
      </w:r>
      <w:r w:rsidR="002A1674">
        <w:rPr>
          <w:rFonts w:ascii="Arial" w:hAnsi="Arial" w:cs="Arial"/>
          <w:b/>
          <w:sz w:val="24"/>
          <w:szCs w:val="24"/>
        </w:rPr>
        <w:t xml:space="preserve"> Δευτέρα</w:t>
      </w:r>
      <w:r w:rsidR="00316BB1">
        <w:rPr>
          <w:rFonts w:ascii="Arial" w:hAnsi="Arial" w:cs="Arial"/>
          <w:b/>
          <w:sz w:val="24"/>
          <w:szCs w:val="24"/>
        </w:rPr>
        <w:t xml:space="preserve"> </w:t>
      </w:r>
      <w:r w:rsidR="0063688C">
        <w:rPr>
          <w:rFonts w:ascii="Arial" w:hAnsi="Arial" w:cs="Arial"/>
          <w:b/>
          <w:sz w:val="24"/>
          <w:szCs w:val="24"/>
        </w:rPr>
        <w:t>16</w:t>
      </w:r>
      <w:r w:rsidR="002A1674">
        <w:rPr>
          <w:rFonts w:ascii="Arial" w:hAnsi="Arial" w:cs="Arial"/>
          <w:b/>
          <w:sz w:val="24"/>
          <w:szCs w:val="24"/>
        </w:rPr>
        <w:t xml:space="preserve"> Αυγούστου</w:t>
      </w:r>
      <w:r w:rsidR="00316BB1">
        <w:rPr>
          <w:rFonts w:ascii="Arial" w:hAnsi="Arial" w:cs="Arial"/>
          <w:b/>
          <w:sz w:val="24"/>
          <w:szCs w:val="24"/>
        </w:rPr>
        <w:t xml:space="preserve"> 202</w:t>
      </w:r>
      <w:r w:rsidR="0063688C">
        <w:rPr>
          <w:rFonts w:ascii="Arial" w:hAnsi="Arial" w:cs="Arial"/>
          <w:b/>
          <w:sz w:val="24"/>
          <w:szCs w:val="24"/>
        </w:rPr>
        <w:t>1</w:t>
      </w:r>
      <w:r w:rsidRPr="001D6D07">
        <w:rPr>
          <w:rFonts w:ascii="Arial" w:hAnsi="Arial" w:cs="Arial"/>
          <w:sz w:val="24"/>
          <w:szCs w:val="24"/>
        </w:rPr>
        <w:t xml:space="preserve">, δεόντως συμπληρωμένες και υπογεγραμμένες, στην ηλεκτρονική διεύθυνση </w:t>
      </w:r>
      <w:hyperlink r:id="rId8" w:history="1">
        <w:r w:rsidR="007C4A5F" w:rsidRPr="007C4A5F">
          <w:rPr>
            <w:rStyle w:val="Hyperlink"/>
            <w:rFonts w:ascii="Arial" w:hAnsi="Arial" w:cs="Arial"/>
            <w:sz w:val="24"/>
            <w:szCs w:val="24"/>
            <w:lang w:val="en-GB"/>
          </w:rPr>
          <w:t>travel</w:t>
        </w:r>
        <w:r w:rsidR="007C4A5F" w:rsidRPr="007C4A5F">
          <w:rPr>
            <w:rStyle w:val="Hyperlink"/>
            <w:rFonts w:ascii="Arial" w:hAnsi="Arial" w:cs="Arial"/>
            <w:sz w:val="24"/>
            <w:szCs w:val="24"/>
          </w:rPr>
          <w:t>@</w:t>
        </w:r>
        <w:r w:rsidR="007C4A5F" w:rsidRPr="007C4A5F">
          <w:rPr>
            <w:rStyle w:val="Hyperlink"/>
            <w:rFonts w:ascii="Arial" w:hAnsi="Arial" w:cs="Arial"/>
            <w:sz w:val="24"/>
            <w:szCs w:val="24"/>
            <w:lang w:val="en-GB"/>
          </w:rPr>
          <w:t>comarine</w:t>
        </w:r>
        <w:r w:rsidR="007C4A5F" w:rsidRPr="007C4A5F">
          <w:rPr>
            <w:rStyle w:val="Hyperlink"/>
            <w:rFonts w:ascii="Arial" w:hAnsi="Arial" w:cs="Arial"/>
            <w:sz w:val="24"/>
            <w:szCs w:val="24"/>
          </w:rPr>
          <w:t>.</w:t>
        </w:r>
        <w:r w:rsidR="007C4A5F" w:rsidRPr="007C4A5F">
          <w:rPr>
            <w:rStyle w:val="Hyperlink"/>
            <w:rFonts w:ascii="Arial" w:hAnsi="Arial" w:cs="Arial"/>
            <w:sz w:val="24"/>
            <w:szCs w:val="24"/>
            <w:lang w:val="en-GB"/>
          </w:rPr>
          <w:t>com</w:t>
        </w:r>
        <w:r w:rsidR="007C4A5F" w:rsidRPr="007C4A5F">
          <w:rPr>
            <w:rStyle w:val="Hyperlink"/>
            <w:rFonts w:ascii="Arial" w:hAnsi="Arial" w:cs="Arial"/>
            <w:sz w:val="24"/>
            <w:szCs w:val="24"/>
          </w:rPr>
          <w:t>.</w:t>
        </w:r>
        <w:r w:rsidR="007C4A5F" w:rsidRPr="007C4A5F">
          <w:rPr>
            <w:rStyle w:val="Hyperlink"/>
            <w:rFonts w:ascii="Arial" w:hAnsi="Arial" w:cs="Arial"/>
            <w:sz w:val="24"/>
            <w:szCs w:val="24"/>
            <w:lang w:val="en-GB"/>
          </w:rPr>
          <w:t>cy</w:t>
        </w:r>
      </w:hyperlink>
      <w:r w:rsidRPr="001D6D07">
        <w:rPr>
          <w:rFonts w:ascii="Arial" w:hAnsi="Arial" w:cs="Arial"/>
          <w:sz w:val="24"/>
          <w:szCs w:val="24"/>
        </w:rPr>
        <w:t xml:space="preserve"> ή  στα γραφεία του ταξιδιωτικού γραφείου </w:t>
      </w:r>
      <w:r w:rsidR="007C4A5F">
        <w:rPr>
          <w:rFonts w:ascii="Arial" w:hAnsi="Arial" w:cs="Arial"/>
          <w:sz w:val="24"/>
          <w:szCs w:val="24"/>
          <w:lang w:val="en-GB"/>
        </w:rPr>
        <w:t>COMARINE</w:t>
      </w:r>
      <w:r w:rsidR="007C4A5F" w:rsidRPr="007C4A5F">
        <w:rPr>
          <w:rFonts w:ascii="Arial" w:hAnsi="Arial" w:cs="Arial"/>
          <w:sz w:val="24"/>
          <w:szCs w:val="24"/>
        </w:rPr>
        <w:t xml:space="preserve"> </w:t>
      </w:r>
      <w:r w:rsidR="007C4A5F">
        <w:rPr>
          <w:rFonts w:ascii="Arial" w:hAnsi="Arial" w:cs="Arial"/>
          <w:sz w:val="24"/>
          <w:szCs w:val="24"/>
          <w:lang w:val="en-GB"/>
        </w:rPr>
        <w:t>LTD</w:t>
      </w:r>
      <w:r w:rsidRPr="001D6D07">
        <w:rPr>
          <w:rFonts w:ascii="Arial" w:hAnsi="Arial" w:cs="Arial"/>
          <w:sz w:val="24"/>
          <w:szCs w:val="24"/>
        </w:rPr>
        <w:t xml:space="preserve"> στις διευθύνσεις που φαίνονται </w:t>
      </w:r>
      <w:r w:rsidR="007C4A5F" w:rsidRPr="007C4A5F">
        <w:rPr>
          <w:rFonts w:ascii="Arial" w:hAnsi="Arial" w:cs="Arial"/>
          <w:sz w:val="24"/>
          <w:szCs w:val="24"/>
        </w:rPr>
        <w:t>που φαίνονται πιο κάτω:</w:t>
      </w:r>
    </w:p>
    <w:p w:rsidR="007C4A5F" w:rsidRPr="007C4A5F" w:rsidRDefault="007C4A5F" w:rsidP="007C4A5F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7C4A5F" w:rsidRPr="00581B76" w:rsidRDefault="007C4A5F" w:rsidP="007C4A5F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7C4A5F">
        <w:rPr>
          <w:rFonts w:ascii="Arial" w:hAnsi="Arial" w:cs="Arial"/>
          <w:sz w:val="24"/>
          <w:szCs w:val="24"/>
        </w:rPr>
        <w:t>Κεντρικά γραφεία: Λεμεσός, Αναστάση Σιούκρη 18, 3105  </w:t>
      </w:r>
      <w:r w:rsidR="00581B76" w:rsidRPr="00581B76">
        <w:rPr>
          <w:rFonts w:ascii="Arial" w:hAnsi="Arial" w:cs="Arial"/>
          <w:sz w:val="24"/>
        </w:rPr>
        <w:t>Τηλ.: 25875588</w:t>
      </w:r>
    </w:p>
    <w:p w:rsidR="007C4A5F" w:rsidRPr="00581B76" w:rsidRDefault="007C4A5F" w:rsidP="007C4A5F">
      <w:pPr>
        <w:ind w:left="720" w:firstLine="207"/>
        <w:rPr>
          <w:rFonts w:ascii="Arial" w:hAnsi="Arial" w:cs="Arial"/>
          <w:b/>
          <w:sz w:val="24"/>
          <w:szCs w:val="24"/>
          <w:u w:val="single"/>
        </w:rPr>
      </w:pPr>
    </w:p>
    <w:p w:rsidR="007C4A5F" w:rsidRPr="00581B76" w:rsidRDefault="007C4A5F" w:rsidP="007C4A5F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81B76">
        <w:rPr>
          <w:rFonts w:ascii="Arial" w:hAnsi="Arial" w:cs="Arial"/>
          <w:sz w:val="24"/>
          <w:szCs w:val="24"/>
        </w:rPr>
        <w:t>Λευκωσία: Αναστάσιου Γ Λεβέντη  3Α , 1097</w:t>
      </w:r>
      <w:r w:rsidR="00581B76" w:rsidRPr="00581B76">
        <w:t xml:space="preserve"> </w:t>
      </w:r>
      <w:r w:rsidR="00581B76" w:rsidRPr="00581B76">
        <w:rPr>
          <w:rFonts w:ascii="Arial" w:hAnsi="Arial" w:cs="Arial"/>
          <w:sz w:val="24"/>
        </w:rPr>
        <w:t>Τηλ.: 22818414</w:t>
      </w:r>
    </w:p>
    <w:p w:rsidR="007C4A5F" w:rsidRPr="007C4A5F" w:rsidRDefault="007C4A5F" w:rsidP="007C4A5F">
      <w:pPr>
        <w:ind w:left="720" w:firstLine="207"/>
        <w:jc w:val="both"/>
        <w:rPr>
          <w:rFonts w:ascii="Arial" w:hAnsi="Arial" w:cs="Arial"/>
          <w:sz w:val="24"/>
          <w:szCs w:val="24"/>
        </w:rPr>
      </w:pPr>
    </w:p>
    <w:p w:rsidR="007C4A5F" w:rsidRPr="007C4A5F" w:rsidRDefault="007C4A5F" w:rsidP="007C4A5F">
      <w:pPr>
        <w:ind w:left="720" w:firstLine="207"/>
        <w:jc w:val="both"/>
        <w:rPr>
          <w:rFonts w:ascii="Arial" w:hAnsi="Arial" w:cs="Arial"/>
          <w:sz w:val="24"/>
          <w:szCs w:val="24"/>
        </w:rPr>
      </w:pPr>
      <w:r w:rsidRPr="007C4A5F">
        <w:rPr>
          <w:rFonts w:ascii="Arial" w:hAnsi="Arial" w:cs="Arial"/>
          <w:sz w:val="24"/>
          <w:szCs w:val="24"/>
        </w:rPr>
        <w:t>Παγκύπριο τηλέφωνο για πληροφορίες: 77771717</w:t>
      </w:r>
    </w:p>
    <w:p w:rsidR="001E5D47" w:rsidRPr="001E5D47" w:rsidRDefault="003172B1" w:rsidP="004709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 έντυπα δήλωσης για συμμετοχή στο Σχέδιο</w:t>
      </w:r>
      <w:r w:rsidR="001E5D47">
        <w:rPr>
          <w:rFonts w:ascii="Arial" w:hAnsi="Arial" w:cs="Arial"/>
          <w:sz w:val="24"/>
          <w:szCs w:val="24"/>
        </w:rPr>
        <w:t xml:space="preserve"> </w:t>
      </w:r>
      <w:r w:rsidR="002A1674">
        <w:rPr>
          <w:rFonts w:ascii="Arial" w:hAnsi="Arial" w:cs="Arial"/>
          <w:sz w:val="24"/>
          <w:szCs w:val="24"/>
        </w:rPr>
        <w:t xml:space="preserve">θα </w:t>
      </w:r>
      <w:r>
        <w:rPr>
          <w:rFonts w:ascii="Arial" w:hAnsi="Arial" w:cs="Arial"/>
          <w:sz w:val="24"/>
          <w:szCs w:val="24"/>
        </w:rPr>
        <w:t xml:space="preserve">διατίθενται από τη Δευτέρα, </w:t>
      </w:r>
      <w:r w:rsidR="0063688C">
        <w:rPr>
          <w:rFonts w:ascii="Arial" w:hAnsi="Arial" w:cs="Arial"/>
          <w:sz w:val="24"/>
          <w:szCs w:val="24"/>
        </w:rPr>
        <w:t>16 Αυγούστου 2021</w:t>
      </w:r>
      <w:r>
        <w:rPr>
          <w:rFonts w:ascii="Arial" w:hAnsi="Arial" w:cs="Arial"/>
          <w:sz w:val="24"/>
          <w:szCs w:val="24"/>
        </w:rPr>
        <w:t xml:space="preserve"> σε όλα τα Κέντρα Εξυπηρέτησης του Πολίτη </w:t>
      </w:r>
      <w:r w:rsidR="0063688C">
        <w:rPr>
          <w:rFonts w:ascii="Arial" w:hAnsi="Arial" w:cs="Arial"/>
          <w:sz w:val="24"/>
          <w:szCs w:val="24"/>
        </w:rPr>
        <w:t xml:space="preserve">(Κ.Ε.Π.) </w:t>
      </w:r>
      <w:r>
        <w:rPr>
          <w:rFonts w:ascii="Arial" w:hAnsi="Arial" w:cs="Arial"/>
          <w:sz w:val="24"/>
          <w:szCs w:val="24"/>
        </w:rPr>
        <w:t>και</w:t>
      </w:r>
      <w:r w:rsidR="001E5D47">
        <w:rPr>
          <w:rFonts w:ascii="Arial" w:hAnsi="Arial" w:cs="Arial"/>
          <w:sz w:val="24"/>
          <w:szCs w:val="24"/>
        </w:rPr>
        <w:t xml:space="preserve"> </w:t>
      </w:r>
      <w:r w:rsidR="0063688C">
        <w:rPr>
          <w:rFonts w:ascii="Arial" w:hAnsi="Arial" w:cs="Arial"/>
          <w:sz w:val="24"/>
          <w:szCs w:val="24"/>
        </w:rPr>
        <w:t xml:space="preserve">τα Κέντρα Πολιτών (ΚΕ.ΠΟ) των ταχυδρομείων καθώς και </w:t>
      </w:r>
      <w:r w:rsidR="001E5D47">
        <w:rPr>
          <w:rFonts w:ascii="Arial" w:hAnsi="Arial" w:cs="Arial"/>
          <w:sz w:val="24"/>
          <w:szCs w:val="24"/>
        </w:rPr>
        <w:t xml:space="preserve">στην ιστοσελίδα του Υπουργείου Εργασίας, Πρόνοιας και Κοινωνικών Ασφαλίσεων </w:t>
      </w:r>
      <w:hyperlink r:id="rId9" w:history="1">
        <w:r w:rsidR="001E5D47" w:rsidRPr="0088297F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www</w:t>
        </w:r>
        <w:r w:rsidR="001E5D47" w:rsidRPr="0088297F">
          <w:rPr>
            <w:rStyle w:val="Hyperlink"/>
            <w:rFonts w:ascii="Arial" w:hAnsi="Arial" w:cs="Arial"/>
            <w:b/>
            <w:sz w:val="24"/>
            <w:szCs w:val="24"/>
          </w:rPr>
          <w:t>.</w:t>
        </w:r>
        <w:r w:rsidR="001E5D47" w:rsidRPr="0088297F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mlsi</w:t>
        </w:r>
        <w:r w:rsidR="001E5D47" w:rsidRPr="0088297F">
          <w:rPr>
            <w:rStyle w:val="Hyperlink"/>
            <w:rFonts w:ascii="Arial" w:hAnsi="Arial" w:cs="Arial"/>
            <w:b/>
            <w:sz w:val="24"/>
            <w:szCs w:val="24"/>
          </w:rPr>
          <w:t>.</w:t>
        </w:r>
        <w:r w:rsidR="001E5D47" w:rsidRPr="0088297F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gov</w:t>
        </w:r>
        <w:r w:rsidR="001E5D47" w:rsidRPr="0088297F">
          <w:rPr>
            <w:rStyle w:val="Hyperlink"/>
            <w:rFonts w:ascii="Arial" w:hAnsi="Arial" w:cs="Arial"/>
            <w:b/>
            <w:sz w:val="24"/>
            <w:szCs w:val="24"/>
          </w:rPr>
          <w:t>.</w:t>
        </w:r>
        <w:r w:rsidR="001E5D47" w:rsidRPr="0088297F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cy</w:t>
        </w:r>
      </w:hyperlink>
      <w:r w:rsidR="002A16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Μαζί με το έντυπο διατίθεται κατάλογος με τα ξενοδοχεία που συμμετέχουν και πληροφορίες σε σχέση με το Σχέδιο.</w:t>
      </w:r>
    </w:p>
    <w:p w:rsidR="00470991" w:rsidRPr="001D6D07" w:rsidRDefault="00470991" w:rsidP="00470991">
      <w:pPr>
        <w:jc w:val="both"/>
        <w:rPr>
          <w:rFonts w:ascii="Arial" w:hAnsi="Arial" w:cs="Arial"/>
          <w:sz w:val="24"/>
          <w:szCs w:val="24"/>
        </w:rPr>
      </w:pPr>
      <w:r w:rsidRPr="001D6D07">
        <w:rPr>
          <w:rFonts w:ascii="Arial" w:hAnsi="Arial" w:cs="Arial"/>
          <w:sz w:val="24"/>
          <w:szCs w:val="24"/>
        </w:rPr>
        <w:t xml:space="preserve">Επισημαίνεται ότι το Υπουργείο Εργασίας, Πρόνοιας και Κοινωνικών Ασφαλίσεων έχει συμβληθεί με το </w:t>
      </w:r>
      <w:r w:rsidR="009F0C18">
        <w:rPr>
          <w:rFonts w:ascii="Arial" w:hAnsi="Arial" w:cs="Arial"/>
          <w:sz w:val="24"/>
          <w:szCs w:val="24"/>
        </w:rPr>
        <w:t xml:space="preserve">πιο πάνω </w:t>
      </w:r>
      <w:r w:rsidRPr="001D6D07">
        <w:rPr>
          <w:rFonts w:ascii="Arial" w:hAnsi="Arial" w:cs="Arial"/>
          <w:sz w:val="24"/>
          <w:szCs w:val="24"/>
        </w:rPr>
        <w:t xml:space="preserve">ταξιδιωτικό γραφείο για την υλοποίηση του </w:t>
      </w:r>
      <w:r w:rsidR="009F0C18">
        <w:rPr>
          <w:rFonts w:ascii="Arial" w:hAnsi="Arial" w:cs="Arial"/>
          <w:sz w:val="24"/>
          <w:szCs w:val="24"/>
        </w:rPr>
        <w:t>Σ</w:t>
      </w:r>
      <w:r w:rsidRPr="001D6D07">
        <w:rPr>
          <w:rFonts w:ascii="Arial" w:hAnsi="Arial" w:cs="Arial"/>
          <w:sz w:val="24"/>
          <w:szCs w:val="24"/>
        </w:rPr>
        <w:t>χεδίου, με βάση τη Νομοθεσία περί της Ρύθμισης των Διαδικασιών Σύναψης Δημόσιων Συμβάσεων και για Συναφή Θέματα</w:t>
      </w:r>
      <w:r w:rsidR="004A4702" w:rsidRPr="001D6D07">
        <w:rPr>
          <w:rFonts w:ascii="Arial" w:hAnsi="Arial" w:cs="Arial"/>
          <w:sz w:val="24"/>
          <w:szCs w:val="24"/>
        </w:rPr>
        <w:t xml:space="preserve"> καθώς και </w:t>
      </w:r>
      <w:r w:rsidRPr="001D6D07">
        <w:rPr>
          <w:rFonts w:ascii="Arial" w:hAnsi="Arial" w:cs="Arial"/>
          <w:sz w:val="24"/>
          <w:szCs w:val="24"/>
        </w:rPr>
        <w:t>με τον Γενικό Κανονισμό Προστασίας Δεδομένων 2016/679.</w:t>
      </w:r>
    </w:p>
    <w:p w:rsidR="002E0ABC" w:rsidRPr="001D6D07" w:rsidRDefault="00470991" w:rsidP="00B839E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D6D07">
        <w:rPr>
          <w:rFonts w:ascii="Arial" w:hAnsi="Arial" w:cs="Arial"/>
          <w:b/>
          <w:sz w:val="24"/>
          <w:szCs w:val="24"/>
          <w:u w:val="single"/>
        </w:rPr>
        <w:t>Υπενθυμίζεται ότι</w:t>
      </w:r>
      <w:r w:rsidR="007C4A5F" w:rsidRPr="007C4A5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E0ABC" w:rsidRPr="001D6D07">
        <w:rPr>
          <w:rFonts w:ascii="Arial" w:hAnsi="Arial" w:cs="Arial"/>
          <w:b/>
          <w:sz w:val="24"/>
          <w:szCs w:val="24"/>
          <w:u w:val="single"/>
        </w:rPr>
        <w:t xml:space="preserve">θα τηρηθεί αυστηρά σειρά προτεραιότητας καθόσον αφορά τη συμμετοχή στο Σχέδιο και την επιλογή ξενοδοχείου </w:t>
      </w:r>
      <w:r w:rsidR="007C4A5F" w:rsidRPr="001D6D07">
        <w:rPr>
          <w:rFonts w:ascii="Arial" w:hAnsi="Arial" w:cs="Arial"/>
          <w:b/>
          <w:sz w:val="24"/>
          <w:szCs w:val="24"/>
          <w:u w:val="single"/>
        </w:rPr>
        <w:t>προτίμησης</w:t>
      </w:r>
      <w:r w:rsidR="007C4A5F" w:rsidRPr="007C4A5F">
        <w:rPr>
          <w:rFonts w:ascii="Arial" w:hAnsi="Arial" w:cs="Arial"/>
          <w:b/>
          <w:sz w:val="24"/>
          <w:szCs w:val="24"/>
          <w:u w:val="single"/>
        </w:rPr>
        <w:t>.</w:t>
      </w:r>
      <w:r w:rsidR="009F4BD1" w:rsidRPr="001D6D0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C4A5F">
        <w:rPr>
          <w:rFonts w:ascii="Arial" w:hAnsi="Arial" w:cs="Arial"/>
          <w:b/>
          <w:sz w:val="24"/>
          <w:szCs w:val="24"/>
          <w:u w:val="single"/>
          <w:lang w:val="en-US"/>
        </w:rPr>
        <w:t>To</w:t>
      </w:r>
      <w:r w:rsidR="007C4A5F" w:rsidRPr="007C4A5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F4BD1" w:rsidRPr="001D6D07">
        <w:rPr>
          <w:rFonts w:ascii="Arial" w:hAnsi="Arial" w:cs="Arial"/>
          <w:b/>
          <w:sz w:val="24"/>
          <w:szCs w:val="24"/>
          <w:u w:val="single"/>
        </w:rPr>
        <w:t xml:space="preserve">Σχέδιο </w:t>
      </w:r>
      <w:r w:rsidR="00307543" w:rsidRPr="001D6D07">
        <w:rPr>
          <w:rFonts w:ascii="Arial" w:hAnsi="Arial" w:cs="Arial"/>
          <w:b/>
          <w:sz w:val="24"/>
          <w:szCs w:val="24"/>
          <w:u w:val="single"/>
        </w:rPr>
        <w:t xml:space="preserve"> εφαρμόζεται μέχρι την εξάντληση του σχετικού διαθέσιμου ποσού.</w:t>
      </w:r>
    </w:p>
    <w:p w:rsidR="00581B76" w:rsidRDefault="00581B76" w:rsidP="00B839EC">
      <w:pPr>
        <w:jc w:val="both"/>
        <w:rPr>
          <w:rFonts w:ascii="Arial" w:hAnsi="Arial" w:cs="Arial"/>
          <w:sz w:val="24"/>
          <w:szCs w:val="24"/>
        </w:rPr>
      </w:pPr>
    </w:p>
    <w:p w:rsidR="00473BC2" w:rsidRPr="007C4A5F" w:rsidRDefault="006C12D8" w:rsidP="00B839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7C4A5F">
        <w:rPr>
          <w:rFonts w:ascii="Arial" w:hAnsi="Arial" w:cs="Arial"/>
          <w:sz w:val="24"/>
          <w:szCs w:val="24"/>
          <w:lang w:val="en-US"/>
        </w:rPr>
        <w:t xml:space="preserve"> </w:t>
      </w:r>
      <w:r w:rsidR="0063688C">
        <w:rPr>
          <w:rFonts w:ascii="Arial" w:hAnsi="Arial" w:cs="Arial"/>
          <w:sz w:val="24"/>
          <w:szCs w:val="24"/>
        </w:rPr>
        <w:t>Αυγούστου 2021</w:t>
      </w:r>
    </w:p>
    <w:sectPr w:rsidR="00473BC2" w:rsidRPr="007C4A5F" w:rsidSect="00663285">
      <w:pgSz w:w="11906" w:h="16838"/>
      <w:pgMar w:top="42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E6E" w:rsidRDefault="00ED0E6E" w:rsidP="00B914CA">
      <w:pPr>
        <w:spacing w:after="0" w:line="240" w:lineRule="auto"/>
      </w:pPr>
      <w:r>
        <w:separator/>
      </w:r>
    </w:p>
  </w:endnote>
  <w:endnote w:type="continuationSeparator" w:id="0">
    <w:p w:rsidR="00ED0E6E" w:rsidRDefault="00ED0E6E" w:rsidP="00B9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E6E" w:rsidRDefault="00ED0E6E" w:rsidP="00B914CA">
      <w:pPr>
        <w:spacing w:after="0" w:line="240" w:lineRule="auto"/>
      </w:pPr>
      <w:r>
        <w:separator/>
      </w:r>
    </w:p>
  </w:footnote>
  <w:footnote w:type="continuationSeparator" w:id="0">
    <w:p w:rsidR="00ED0E6E" w:rsidRDefault="00ED0E6E" w:rsidP="00B91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7637"/>
    <w:multiLevelType w:val="hybridMultilevel"/>
    <w:tmpl w:val="2F86A1E8"/>
    <w:lvl w:ilvl="0" w:tplc="E402DC5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CE5C7B"/>
    <w:multiLevelType w:val="hybridMultilevel"/>
    <w:tmpl w:val="E9BC6B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75631"/>
    <w:multiLevelType w:val="hybridMultilevel"/>
    <w:tmpl w:val="5812FB74"/>
    <w:lvl w:ilvl="0" w:tplc="04080009">
      <w:start w:val="1"/>
      <w:numFmt w:val="bullet"/>
      <w:lvlText w:val=""/>
      <w:lvlJc w:val="left"/>
      <w:pPr>
        <w:ind w:left="164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61E72BA7"/>
    <w:multiLevelType w:val="hybridMultilevel"/>
    <w:tmpl w:val="501CB3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839EC"/>
    <w:rsid w:val="00023194"/>
    <w:rsid w:val="000278D4"/>
    <w:rsid w:val="000726B4"/>
    <w:rsid w:val="000A00A4"/>
    <w:rsid w:val="000D1361"/>
    <w:rsid w:val="000E052E"/>
    <w:rsid w:val="00105B27"/>
    <w:rsid w:val="0010627D"/>
    <w:rsid w:val="00112B40"/>
    <w:rsid w:val="00124A08"/>
    <w:rsid w:val="00152025"/>
    <w:rsid w:val="00153FA3"/>
    <w:rsid w:val="00165A55"/>
    <w:rsid w:val="001A2145"/>
    <w:rsid w:val="001C0B36"/>
    <w:rsid w:val="001D6D07"/>
    <w:rsid w:val="001E5D47"/>
    <w:rsid w:val="002158D6"/>
    <w:rsid w:val="002A1674"/>
    <w:rsid w:val="002C57AA"/>
    <w:rsid w:val="002E0ABC"/>
    <w:rsid w:val="00307543"/>
    <w:rsid w:val="00316BB1"/>
    <w:rsid w:val="003172B1"/>
    <w:rsid w:val="00335146"/>
    <w:rsid w:val="00337072"/>
    <w:rsid w:val="00347730"/>
    <w:rsid w:val="00374309"/>
    <w:rsid w:val="0037710C"/>
    <w:rsid w:val="00397B67"/>
    <w:rsid w:val="003B60D5"/>
    <w:rsid w:val="00435683"/>
    <w:rsid w:val="00437C8D"/>
    <w:rsid w:val="00470991"/>
    <w:rsid w:val="00473BC2"/>
    <w:rsid w:val="00483F38"/>
    <w:rsid w:val="004A4702"/>
    <w:rsid w:val="004E2CFD"/>
    <w:rsid w:val="004F550B"/>
    <w:rsid w:val="004F6AD5"/>
    <w:rsid w:val="00524B31"/>
    <w:rsid w:val="00526193"/>
    <w:rsid w:val="00532EDE"/>
    <w:rsid w:val="00581B76"/>
    <w:rsid w:val="00595150"/>
    <w:rsid w:val="005B1C03"/>
    <w:rsid w:val="005B4F24"/>
    <w:rsid w:val="00622706"/>
    <w:rsid w:val="0063688C"/>
    <w:rsid w:val="006430C6"/>
    <w:rsid w:val="00663285"/>
    <w:rsid w:val="00682892"/>
    <w:rsid w:val="006C12D8"/>
    <w:rsid w:val="0071667B"/>
    <w:rsid w:val="007176DC"/>
    <w:rsid w:val="007316C1"/>
    <w:rsid w:val="0074121C"/>
    <w:rsid w:val="0074277A"/>
    <w:rsid w:val="00756218"/>
    <w:rsid w:val="00786D8D"/>
    <w:rsid w:val="007C4A5F"/>
    <w:rsid w:val="007E0A35"/>
    <w:rsid w:val="007E22E1"/>
    <w:rsid w:val="007F7951"/>
    <w:rsid w:val="00804CA8"/>
    <w:rsid w:val="00845A4A"/>
    <w:rsid w:val="008542BC"/>
    <w:rsid w:val="00923E05"/>
    <w:rsid w:val="00953E1D"/>
    <w:rsid w:val="0099582E"/>
    <w:rsid w:val="009C4FC2"/>
    <w:rsid w:val="009F0C18"/>
    <w:rsid w:val="009F4BD1"/>
    <w:rsid w:val="00A2379D"/>
    <w:rsid w:val="00A51EB1"/>
    <w:rsid w:val="00A765DA"/>
    <w:rsid w:val="00A8493D"/>
    <w:rsid w:val="00AA0FE4"/>
    <w:rsid w:val="00AA5FD8"/>
    <w:rsid w:val="00AA6E63"/>
    <w:rsid w:val="00AC55EC"/>
    <w:rsid w:val="00AF15B0"/>
    <w:rsid w:val="00B237A5"/>
    <w:rsid w:val="00B27C67"/>
    <w:rsid w:val="00B77131"/>
    <w:rsid w:val="00B81854"/>
    <w:rsid w:val="00B839EC"/>
    <w:rsid w:val="00B914CA"/>
    <w:rsid w:val="00BE596A"/>
    <w:rsid w:val="00BF1214"/>
    <w:rsid w:val="00C26077"/>
    <w:rsid w:val="00C314FF"/>
    <w:rsid w:val="00C5227B"/>
    <w:rsid w:val="00C542D8"/>
    <w:rsid w:val="00CC6AF6"/>
    <w:rsid w:val="00CD1A56"/>
    <w:rsid w:val="00D05C9B"/>
    <w:rsid w:val="00DA6773"/>
    <w:rsid w:val="00E1477C"/>
    <w:rsid w:val="00E219FA"/>
    <w:rsid w:val="00E443A1"/>
    <w:rsid w:val="00EA464E"/>
    <w:rsid w:val="00EA65DE"/>
    <w:rsid w:val="00ED0E6E"/>
    <w:rsid w:val="00ED2154"/>
    <w:rsid w:val="00F02BB8"/>
    <w:rsid w:val="00F065D5"/>
    <w:rsid w:val="00F4039E"/>
    <w:rsid w:val="00F7591A"/>
    <w:rsid w:val="00F95DAD"/>
    <w:rsid w:val="00FA0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B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4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4CA"/>
  </w:style>
  <w:style w:type="paragraph" w:styleId="Footer">
    <w:name w:val="footer"/>
    <w:basedOn w:val="Normal"/>
    <w:link w:val="FooterChar"/>
    <w:uiPriority w:val="99"/>
    <w:unhideWhenUsed/>
    <w:rsid w:val="00B914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4CA"/>
  </w:style>
  <w:style w:type="paragraph" w:styleId="BalloonText">
    <w:name w:val="Balloon Text"/>
    <w:basedOn w:val="Normal"/>
    <w:link w:val="BalloonTextChar"/>
    <w:uiPriority w:val="99"/>
    <w:semiHidden/>
    <w:unhideWhenUsed/>
    <w:rsid w:val="004F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6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667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470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B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4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4CA"/>
  </w:style>
  <w:style w:type="paragraph" w:styleId="Footer">
    <w:name w:val="footer"/>
    <w:basedOn w:val="Normal"/>
    <w:link w:val="FooterChar"/>
    <w:uiPriority w:val="99"/>
    <w:unhideWhenUsed/>
    <w:rsid w:val="00B914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4CA"/>
  </w:style>
  <w:style w:type="paragraph" w:styleId="BalloonText">
    <w:name w:val="Balloon Text"/>
    <w:basedOn w:val="Normal"/>
    <w:link w:val="BalloonTextChar"/>
    <w:uiPriority w:val="99"/>
    <w:semiHidden/>
    <w:unhideWhenUsed/>
    <w:rsid w:val="004F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6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667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470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8144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53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808080"/>
                            <w:left w:val="single" w:sz="6" w:space="15" w:color="808080"/>
                            <w:bottom w:val="single" w:sz="6" w:space="15" w:color="808080"/>
                            <w:right w:val="single" w:sz="6" w:space="15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1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47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908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67372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34210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5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808080"/>
                            <w:left w:val="single" w:sz="6" w:space="15" w:color="808080"/>
                            <w:bottom w:val="single" w:sz="6" w:space="15" w:color="808080"/>
                            <w:right w:val="single" w:sz="6" w:space="15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9393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5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808080"/>
                            <w:left w:val="single" w:sz="6" w:space="15" w:color="808080"/>
                            <w:bottom w:val="single" w:sz="6" w:space="15" w:color="808080"/>
                            <w:right w:val="single" w:sz="6" w:space="15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4608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9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1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808080"/>
                            <w:left w:val="single" w:sz="6" w:space="15" w:color="808080"/>
                            <w:bottom w:val="single" w:sz="6" w:space="15" w:color="808080"/>
                            <w:right w:val="single" w:sz="6" w:space="15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5018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82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5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808080"/>
                            <w:left w:val="single" w:sz="6" w:space="15" w:color="808080"/>
                            <w:bottom w:val="single" w:sz="6" w:space="15" w:color="808080"/>
                            <w:right w:val="single" w:sz="6" w:space="15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9354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2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808080"/>
                            <w:left w:val="single" w:sz="6" w:space="15" w:color="808080"/>
                            <w:bottom w:val="single" w:sz="6" w:space="15" w:color="808080"/>
                            <w:right w:val="single" w:sz="6" w:space="15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el@comarine.com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lsi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6309D-7D58-4A3C-B930-E2EEB824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Photiou</dc:creator>
  <cp:lastModifiedBy>User</cp:lastModifiedBy>
  <cp:revision>5</cp:revision>
  <cp:lastPrinted>2021-08-11T06:48:00Z</cp:lastPrinted>
  <dcterms:created xsi:type="dcterms:W3CDTF">2021-08-11T06:26:00Z</dcterms:created>
  <dcterms:modified xsi:type="dcterms:W3CDTF">2021-08-13T09:26:00Z</dcterms:modified>
</cp:coreProperties>
</file>